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1C8E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F23B40">
        <w:t xml:space="preserve">Human Resources </w:t>
      </w:r>
      <w:r w:rsidR="00877B26">
        <w:t>and</w:t>
      </w:r>
      <w:r w:rsidRPr="00127279">
        <w:t xml:space="preserve"> </w:t>
      </w:r>
      <w:r w:rsidR="00F23B40">
        <w:t>Labour Relations</w:t>
      </w:r>
      <w:r w:rsidR="00037E39">
        <w:t xml:space="preserve"> – Post Diploma</w:t>
      </w:r>
    </w:p>
    <w:p w14:paraId="46CB5D9C" w14:textId="77777777" w:rsidR="006B5C70" w:rsidRPr="00360779" w:rsidRDefault="00CF45E8" w:rsidP="001E4C32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02D3046A" w14:textId="7D11C943" w:rsidR="007171F4" w:rsidRDefault="00284BDC" w:rsidP="0038202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2009BE">
        <w:rPr>
          <w:rFonts w:cs="Arial"/>
          <w:b/>
          <w:color w:val="FF8000"/>
          <w:position w:val="-2"/>
          <w:sz w:val="16"/>
          <w:szCs w:val="16"/>
        </w:rPr>
        <w:t>2</w:t>
      </w:r>
      <w:r w:rsidR="00D232B1">
        <w:rPr>
          <w:rFonts w:cs="Arial"/>
          <w:b/>
          <w:color w:val="FF8000"/>
          <w:position w:val="-2"/>
          <w:sz w:val="16"/>
          <w:szCs w:val="16"/>
        </w:rPr>
        <w:t>3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7171F4">
        <w:rPr>
          <w:rFonts w:cs="Arial"/>
          <w:b/>
          <w:color w:val="FF8000"/>
          <w:position w:val="-2"/>
          <w:sz w:val="16"/>
          <w:szCs w:val="16"/>
        </w:rPr>
        <w:t>2</w:t>
      </w:r>
      <w:r w:rsidR="00D232B1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 xml:space="preserve">Program 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R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equ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i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r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e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me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n</w:t>
        </w:r>
        <w:r w:rsidR="006B5C70"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2009BE">
        <w:rPr>
          <w:rFonts w:cs="Arial"/>
          <w:color w:val="17365D"/>
          <w:position w:val="-2"/>
          <w:sz w:val="16"/>
          <w:szCs w:val="16"/>
        </w:rPr>
        <w:t>2</w:t>
      </w:r>
      <w:r w:rsidR="00D232B1">
        <w:rPr>
          <w:rFonts w:cs="Arial"/>
          <w:color w:val="17365D"/>
          <w:position w:val="-2"/>
          <w:sz w:val="16"/>
          <w:szCs w:val="16"/>
        </w:rPr>
        <w:t>3</w:t>
      </w:r>
    </w:p>
    <w:p w14:paraId="745D08B5" w14:textId="6BED30B4" w:rsidR="00A04A06" w:rsidRDefault="006B5C70" w:rsidP="00382023">
      <w:pPr>
        <w:ind w:left="-142"/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D232B1" w:rsidRPr="006C5793">
        <w:rPr>
          <w:rFonts w:cs="Arial"/>
        </w:rPr>
        <w:t xml:space="preserve">Please contact </w:t>
      </w:r>
      <w:r w:rsidR="00D232B1" w:rsidRPr="002C6F04">
        <w:rPr>
          <w:rFonts w:cs="Arial"/>
        </w:rPr>
        <w:t>Advising Services</w:t>
      </w:r>
      <w:r w:rsidR="00D232B1" w:rsidRPr="006C5793">
        <w:rPr>
          <w:rFonts w:cs="Arial"/>
        </w:rPr>
        <w:t xml:space="preserve"> </w:t>
      </w:r>
      <w:r w:rsidR="00D232B1">
        <w:rPr>
          <w:rFonts w:cs="Arial"/>
        </w:rPr>
        <w:t>(</w:t>
      </w:r>
      <w:hyperlink r:id="rId11" w:history="1">
        <w:r w:rsidR="00D232B1" w:rsidRPr="00E2320E">
          <w:rPr>
            <w:rStyle w:val="Hyperlink"/>
            <w:rFonts w:cs="Arial"/>
          </w:rPr>
          <w:t>advising@athabascau.ca</w:t>
        </w:r>
      </w:hyperlink>
      <w:r w:rsidR="00D232B1">
        <w:rPr>
          <w:rFonts w:cs="Arial"/>
        </w:rPr>
        <w:t xml:space="preserve">) </w:t>
      </w:r>
      <w:r w:rsidR="00D232B1" w:rsidRPr="006C5793">
        <w:rPr>
          <w:rFonts w:cs="Arial"/>
        </w:rPr>
        <w:t>for program planning assistance</w:t>
      </w:r>
      <w:r w:rsidR="00D232B1">
        <w:rPr>
          <w:rFonts w:cs="Arial"/>
        </w:rPr>
        <w:t xml:space="preserve">. </w:t>
      </w:r>
      <w:r w:rsidR="00D232B1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D232B1">
          <w:rPr>
            <w:rStyle w:val="Hyperlink"/>
          </w:rPr>
          <w:t>course availability</w:t>
        </w:r>
      </w:hyperlink>
      <w:r w:rsidR="00D232B1">
        <w:rPr>
          <w:rStyle w:val="ui-provider"/>
        </w:rPr>
        <w:t xml:space="preserve"> list to assist with planning courses.</w:t>
      </w:r>
    </w:p>
    <w:p w14:paraId="3023FC6C" w14:textId="77777777" w:rsidR="00284BDC" w:rsidRPr="00360779" w:rsidRDefault="00284BDC" w:rsidP="00382023">
      <w:pPr>
        <w:ind w:left="-142"/>
        <w:rPr>
          <w:rFonts w:cs="Arial"/>
          <w:color w:val="17365D"/>
          <w:szCs w:val="20"/>
        </w:rPr>
      </w:pP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A9088BE" w14:textId="77777777" w:rsidTr="00360779">
        <w:tc>
          <w:tcPr>
            <w:tcW w:w="4428" w:type="dxa"/>
            <w:shd w:val="clear" w:color="auto" w:fill="auto"/>
          </w:tcPr>
          <w:p w14:paraId="6F977E98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5D4952">
              <w:t>PREPARATORY</w:t>
            </w:r>
            <w:r w:rsidR="005D4952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1E07260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5DABFE2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69"/>
        <w:gridCol w:w="1915"/>
        <w:gridCol w:w="1276"/>
        <w:gridCol w:w="2268"/>
      </w:tblGrid>
      <w:tr w:rsidR="006864ED" w:rsidRPr="00360779" w14:paraId="5D28D640" w14:textId="77777777" w:rsidTr="00EE450B">
        <w:trPr>
          <w:trHeight w:val="834"/>
        </w:trPr>
        <w:tc>
          <w:tcPr>
            <w:tcW w:w="817" w:type="dxa"/>
            <w:shd w:val="clear" w:color="auto" w:fill="DBE5F1"/>
          </w:tcPr>
          <w:p w14:paraId="4400194B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52D72411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629" w:type="dxa"/>
            <w:gridSpan w:val="2"/>
            <w:shd w:val="clear" w:color="auto" w:fill="DBE5F1"/>
          </w:tcPr>
          <w:p w14:paraId="228F8781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15" w:type="dxa"/>
            <w:shd w:val="clear" w:color="auto" w:fill="DBE5F1"/>
          </w:tcPr>
          <w:p w14:paraId="774E25D8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0C0EC256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2D422241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EA19CC" w:rsidRPr="00360779" w14:paraId="7418C315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B04FC3" w14:textId="77777777" w:rsidR="00EA19CC" w:rsidRDefault="00EA19CC" w:rsidP="00CF2BA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09EA4" w14:textId="77777777" w:rsidR="00EA19CC" w:rsidRDefault="00EA19CC" w:rsidP="00105EA3">
            <w:pPr>
              <w:pStyle w:val="Credits"/>
            </w:pPr>
            <w:r>
              <w:t>3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6A02D943" w14:textId="77777777" w:rsidR="00EA19CC" w:rsidRDefault="0035258B" w:rsidP="006E5B46">
            <w:pPr>
              <w:pStyle w:val="TableText"/>
            </w:pPr>
            <w:hyperlink r:id="rId13" w:history="1">
              <w:r w:rsidR="00EA19CC" w:rsidRPr="00B30A1B">
                <w:rPr>
                  <w:color w:val="244061"/>
                  <w:u w:val="single"/>
                </w:rPr>
                <w:t>IDRL215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0A55CE76" w14:textId="290186BE" w:rsidR="00EA19CC" w:rsidRDefault="009648E3" w:rsidP="00CF2BAF">
            <w:pPr>
              <w:pStyle w:val="TableText"/>
            </w:pPr>
            <w:hyperlink r:id="rId14" w:history="1">
              <w:r w:rsidR="00EA19CC" w:rsidRPr="009648E3">
                <w:rPr>
                  <w:rStyle w:val="Hyperlink"/>
                </w:rPr>
                <w:t>Requir</w:t>
              </w:r>
              <w:r w:rsidR="00EA19CC" w:rsidRPr="009648E3">
                <w:rPr>
                  <w:rStyle w:val="Hyperlink"/>
                </w:rPr>
                <w:t>e</w:t>
              </w:r>
              <w:r w:rsidR="00EA19CC" w:rsidRPr="009648E3">
                <w:rPr>
                  <w:rStyle w:val="Hyperlink"/>
                </w:rPr>
                <w:t>d C</w:t>
              </w:r>
              <w:r w:rsidR="00EA19CC" w:rsidRPr="009648E3">
                <w:rPr>
                  <w:rStyle w:val="Hyperlink"/>
                </w:rPr>
                <w:t>o</w:t>
              </w:r>
              <w:r w:rsidR="00EA19CC" w:rsidRPr="009648E3">
                <w:rPr>
                  <w:rStyle w:val="Hyperlink"/>
                </w:rPr>
                <w:t>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8DE46A8" w14:textId="77777777" w:rsidR="00EA19CC" w:rsidRDefault="00EA19CC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960F1" w14:textId="77777777" w:rsidR="00EA19CC" w:rsidRDefault="00EA19CC" w:rsidP="00452C01">
            <w:pPr>
              <w:pStyle w:val="TableText"/>
            </w:pPr>
          </w:p>
        </w:tc>
      </w:tr>
      <w:tr w:rsidR="00266C36" w:rsidRPr="00360779" w14:paraId="19E0C0BA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00EC0B" w14:textId="77777777" w:rsidR="00266C36" w:rsidRDefault="00266C36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C6618" w14:textId="77777777" w:rsidR="00266C36" w:rsidRDefault="00266C36" w:rsidP="00105EA3">
            <w:pPr>
              <w:pStyle w:val="Credits"/>
            </w:pPr>
            <w:r>
              <w:t>6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3C95898D" w14:textId="77777777" w:rsidR="00266C36" w:rsidRPr="007537B7" w:rsidRDefault="0035258B" w:rsidP="0012357E">
            <w:pPr>
              <w:pStyle w:val="TableText"/>
              <w:rPr>
                <w:color w:val="244061"/>
                <w:u w:val="single"/>
              </w:rPr>
            </w:pPr>
            <w:hyperlink r:id="rId15" w:history="1">
              <w:r w:rsidR="00266C36" w:rsidRPr="007537B7">
                <w:rPr>
                  <w:color w:val="244061"/>
                  <w:u w:val="single"/>
                </w:rPr>
                <w:t>HRMT386</w:t>
              </w:r>
            </w:hyperlink>
            <w:r w:rsidR="00266C36" w:rsidRPr="007537B7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FCAB01A" w14:textId="5905F18A" w:rsidR="00266C36" w:rsidRDefault="009648E3" w:rsidP="00CF2BAF">
            <w:pPr>
              <w:pStyle w:val="TableText"/>
            </w:pPr>
            <w:hyperlink r:id="rId16" w:history="1">
              <w:r w:rsidR="00266C36" w:rsidRPr="009648E3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DD2B308" w14:textId="77777777" w:rsidR="00266C36" w:rsidRDefault="00266C36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B0EBB" w14:textId="77777777" w:rsidR="00266C36" w:rsidRDefault="00266C36" w:rsidP="00452C01">
            <w:pPr>
              <w:pStyle w:val="TableText"/>
            </w:pPr>
          </w:p>
        </w:tc>
      </w:tr>
      <w:tr w:rsidR="00EA19CC" w:rsidRPr="00360779" w14:paraId="66E23317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4E5A2A" w14:textId="77777777" w:rsidR="00EA19CC" w:rsidRDefault="00EA19CC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5D8BE" w14:textId="77777777" w:rsidR="00EA19CC" w:rsidRDefault="00EA19CC" w:rsidP="00105EA3">
            <w:pPr>
              <w:pStyle w:val="Credits"/>
            </w:pPr>
            <w:r>
              <w:t>9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52B8E8E8" w14:textId="77777777" w:rsidR="00EA19CC" w:rsidRPr="00D33824" w:rsidRDefault="0035258B" w:rsidP="006E5B46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="00EA19CC" w:rsidRPr="00D33824">
                <w:rPr>
                  <w:color w:val="244061"/>
                  <w:u w:val="single"/>
                </w:rPr>
                <w:t>EDUC317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1ACBFE1A" w14:textId="1672D9B4" w:rsidR="00EA19CC" w:rsidRDefault="009648E3" w:rsidP="00CF2BAF">
            <w:pPr>
              <w:pStyle w:val="TableText"/>
            </w:pPr>
            <w:hyperlink r:id="rId18" w:history="1">
              <w:r w:rsidR="00EA19CC" w:rsidRPr="009648E3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DFDB8D" w14:textId="77777777" w:rsidR="00EA19CC" w:rsidRDefault="00EA19CC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F67B3B" w14:textId="77777777" w:rsidR="00EA19CC" w:rsidRDefault="00EA19CC" w:rsidP="00452C01">
            <w:pPr>
              <w:pStyle w:val="TableText"/>
            </w:pPr>
          </w:p>
        </w:tc>
      </w:tr>
      <w:tr w:rsidR="00266C36" w:rsidRPr="00360779" w14:paraId="314B5C85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CEDD17" w14:textId="77777777" w:rsidR="00266C36" w:rsidRDefault="00266C36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465C4" w14:textId="77777777" w:rsidR="00266C36" w:rsidRDefault="00266C36" w:rsidP="00105EA3">
            <w:pPr>
              <w:pStyle w:val="Credits"/>
            </w:pPr>
            <w:r>
              <w:t>12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10C0E2B4" w14:textId="77777777" w:rsidR="00266C36" w:rsidRPr="007537B7" w:rsidRDefault="0035258B" w:rsidP="0012357E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266C36" w:rsidRPr="007537B7">
                <w:rPr>
                  <w:color w:val="244061"/>
                  <w:u w:val="single"/>
                </w:rPr>
                <w:t>IDRL309</w:t>
              </w:r>
            </w:hyperlink>
            <w:r w:rsidR="00266C36">
              <w:rPr>
                <w:color w:val="244061"/>
                <w:u w:val="single"/>
              </w:rPr>
              <w:t>/</w:t>
            </w:r>
            <w:hyperlink r:id="rId20" w:history="1">
              <w:r w:rsidR="00266C36" w:rsidRPr="00A21003">
                <w:rPr>
                  <w:color w:val="244061"/>
                  <w:u w:val="single"/>
                </w:rPr>
                <w:t>LGST310</w:t>
              </w:r>
            </w:hyperlink>
            <w:r w:rsidR="00266C36" w:rsidRPr="007537B7">
              <w:rPr>
                <w:color w:val="244061"/>
                <w:u w:val="single"/>
              </w:rPr>
              <w:t xml:space="preserve"> or </w:t>
            </w:r>
            <w:hyperlink r:id="rId21" w:history="1">
              <w:r w:rsidR="00266C36" w:rsidRPr="007537B7">
                <w:rPr>
                  <w:color w:val="244061"/>
                  <w:u w:val="single"/>
                </w:rPr>
                <w:t>LBST330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52C5C657" w14:textId="226121C3" w:rsidR="00266C36" w:rsidRDefault="009648E3" w:rsidP="00CF2BAF">
            <w:pPr>
              <w:pStyle w:val="TableText"/>
            </w:pPr>
            <w:hyperlink r:id="rId22" w:history="1">
              <w:r w:rsidR="00266C36" w:rsidRPr="009648E3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856E53B" w14:textId="77777777" w:rsidR="00266C36" w:rsidRDefault="00266C36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4B1F3" w14:textId="77777777" w:rsidR="00266C36" w:rsidRDefault="00266C36" w:rsidP="00452C01">
            <w:pPr>
              <w:pStyle w:val="TableText"/>
            </w:pPr>
          </w:p>
        </w:tc>
      </w:tr>
      <w:tr w:rsidR="00266C36" w:rsidRPr="00360779" w14:paraId="3EEF26D9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29185C" w14:textId="77777777" w:rsidR="00266C36" w:rsidRDefault="00266C36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8442F" w14:textId="77777777" w:rsidR="00266C36" w:rsidRDefault="00266C36" w:rsidP="00105EA3">
            <w:pPr>
              <w:pStyle w:val="Credits"/>
            </w:pPr>
            <w:r>
              <w:t>15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4E7C92D8" w14:textId="77777777" w:rsidR="00266C36" w:rsidRPr="007537B7" w:rsidRDefault="0035258B" w:rsidP="0012357E">
            <w:pPr>
              <w:pStyle w:val="TableText"/>
              <w:rPr>
                <w:color w:val="244061"/>
                <w:u w:val="single"/>
              </w:rPr>
            </w:pPr>
            <w:hyperlink r:id="rId23" w:history="1">
              <w:r w:rsidR="00266C36" w:rsidRPr="007537B7">
                <w:rPr>
                  <w:color w:val="244061"/>
                  <w:u w:val="single"/>
                </w:rPr>
                <w:t>IDRL308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1C1A4528" w14:textId="6DCDA921" w:rsidR="00266C36" w:rsidRDefault="009648E3" w:rsidP="00CF2BAF">
            <w:pPr>
              <w:pStyle w:val="TableText"/>
            </w:pPr>
            <w:hyperlink r:id="rId24" w:history="1">
              <w:r w:rsidR="00266C36" w:rsidRPr="009648E3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DBDD75" w14:textId="77777777" w:rsidR="00266C36" w:rsidRDefault="00266C36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BA7BF" w14:textId="77777777" w:rsidR="00266C36" w:rsidRDefault="00266C36" w:rsidP="00452C01">
            <w:pPr>
              <w:pStyle w:val="TableText"/>
            </w:pPr>
          </w:p>
        </w:tc>
      </w:tr>
      <w:tr w:rsidR="00EA19CC" w:rsidRPr="00360779" w14:paraId="566D8467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B23236" w14:textId="77777777" w:rsidR="00EA19CC" w:rsidRDefault="00EA19CC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D4A97" w14:textId="77777777" w:rsidR="00EA19CC" w:rsidRDefault="00EA19CC" w:rsidP="00105EA3">
            <w:pPr>
              <w:pStyle w:val="Credits"/>
            </w:pPr>
            <w:r>
              <w:t>18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6C6337D4" w14:textId="77777777" w:rsidR="00EA19CC" w:rsidRPr="00D33824" w:rsidRDefault="0035258B" w:rsidP="006E5B46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="00EA19CC" w:rsidRPr="00D33824">
                <w:rPr>
                  <w:color w:val="244061"/>
                  <w:u w:val="single"/>
                </w:rPr>
                <w:t>IDRL316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3561A9F7" w14:textId="09DE2E3C" w:rsidR="00EA19CC" w:rsidRDefault="00B36147" w:rsidP="00CF2BAF">
            <w:pPr>
              <w:pStyle w:val="TableText"/>
            </w:pPr>
            <w:hyperlink r:id="rId26" w:history="1">
              <w:r w:rsidRPr="00DB39C5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C23C92" w14:textId="77777777" w:rsidR="00EA19CC" w:rsidRDefault="00EA19CC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AB70E" w14:textId="77777777" w:rsidR="00EA19CC" w:rsidRDefault="00EA19CC" w:rsidP="00452C01">
            <w:pPr>
              <w:pStyle w:val="TableText"/>
            </w:pPr>
          </w:p>
        </w:tc>
      </w:tr>
      <w:tr w:rsidR="00266C36" w:rsidRPr="00360779" w14:paraId="12CC99E2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7D480C" w14:textId="77777777" w:rsidR="00266C36" w:rsidRDefault="00266C36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1CC06" w14:textId="77777777" w:rsidR="00266C36" w:rsidRDefault="00266C36" w:rsidP="00105EA3">
            <w:pPr>
              <w:pStyle w:val="Credits"/>
            </w:pPr>
            <w:r>
              <w:t>21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063CEFF4" w14:textId="77777777" w:rsidR="00266C36" w:rsidRPr="007537B7" w:rsidRDefault="0035258B" w:rsidP="0012357E">
            <w:pPr>
              <w:pStyle w:val="TableText"/>
              <w:rPr>
                <w:color w:val="244061"/>
                <w:u w:val="single"/>
              </w:rPr>
            </w:pPr>
            <w:hyperlink r:id="rId27" w:history="1">
              <w:r w:rsidR="00266C36" w:rsidRPr="007537B7">
                <w:rPr>
                  <w:color w:val="244061"/>
                  <w:u w:val="single"/>
                </w:rPr>
                <w:t>IDRL320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6ACE1B16" w14:textId="7D2CA775" w:rsidR="00266C36" w:rsidRDefault="00B36147" w:rsidP="00CF2BAF">
            <w:pPr>
              <w:pStyle w:val="TableText"/>
            </w:pPr>
            <w:hyperlink r:id="rId28" w:history="1">
              <w:r w:rsidRPr="00DB39C5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F204B6" w14:textId="77777777" w:rsidR="00266C36" w:rsidRDefault="00266C36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BC5B6" w14:textId="77777777" w:rsidR="00266C36" w:rsidRDefault="00266C36" w:rsidP="00452C01">
            <w:pPr>
              <w:pStyle w:val="TableText"/>
            </w:pPr>
            <w:r>
              <w:t> </w:t>
            </w:r>
          </w:p>
        </w:tc>
      </w:tr>
      <w:tr w:rsidR="00266C36" w:rsidRPr="00360779" w14:paraId="27295066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382083" w14:textId="77777777" w:rsidR="00266C36" w:rsidRDefault="00266C36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40EEA" w14:textId="77777777" w:rsidR="00266C36" w:rsidRDefault="00266C36" w:rsidP="00105EA3">
            <w:pPr>
              <w:pStyle w:val="Credits"/>
            </w:pPr>
            <w:r>
              <w:t>24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7FFD123A" w14:textId="77777777" w:rsidR="00266C36" w:rsidRPr="007537B7" w:rsidRDefault="0035258B" w:rsidP="0012357E">
            <w:pPr>
              <w:pStyle w:val="TableText"/>
              <w:rPr>
                <w:color w:val="244061"/>
                <w:u w:val="single"/>
              </w:rPr>
            </w:pPr>
            <w:hyperlink r:id="rId29" w:history="1">
              <w:r w:rsidR="00266C36" w:rsidRPr="007537B7">
                <w:rPr>
                  <w:color w:val="244061"/>
                  <w:u w:val="single"/>
                </w:rPr>
                <w:t>SOCI321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2AB13880" w14:textId="6EDB795D" w:rsidR="00266C36" w:rsidRDefault="00B36147" w:rsidP="00CF2BAF">
            <w:pPr>
              <w:pStyle w:val="TableText"/>
            </w:pPr>
            <w:hyperlink r:id="rId30" w:history="1">
              <w:r w:rsidRPr="00DB39C5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BD16309" w14:textId="77777777" w:rsidR="00266C36" w:rsidRDefault="00266C36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1369F" w14:textId="77777777" w:rsidR="00266C36" w:rsidRDefault="00266C36" w:rsidP="00452C01">
            <w:pPr>
              <w:pStyle w:val="TableText"/>
            </w:pPr>
            <w:r>
              <w:t> </w:t>
            </w:r>
          </w:p>
        </w:tc>
      </w:tr>
      <w:tr w:rsidR="00266C36" w:rsidRPr="00360779" w14:paraId="1033F9A4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FE1C56" w14:textId="77777777" w:rsidR="00266C36" w:rsidRDefault="00266C36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213CB" w14:textId="77777777" w:rsidR="00266C36" w:rsidRDefault="00266C36" w:rsidP="00105EA3">
            <w:pPr>
              <w:pStyle w:val="Credits"/>
            </w:pPr>
            <w:r>
              <w:t>27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380E12A9" w14:textId="77777777" w:rsidR="00266C36" w:rsidRPr="007537B7" w:rsidRDefault="0035258B" w:rsidP="0012357E">
            <w:pPr>
              <w:pStyle w:val="TableText"/>
              <w:rPr>
                <w:color w:val="244061"/>
                <w:u w:val="single"/>
              </w:rPr>
            </w:pPr>
            <w:hyperlink r:id="rId31" w:history="1">
              <w:r w:rsidR="00266C36" w:rsidRPr="007537B7">
                <w:rPr>
                  <w:color w:val="244061"/>
                  <w:u w:val="single"/>
                </w:rPr>
                <w:t>SOSC366</w:t>
              </w:r>
            </w:hyperlink>
          </w:p>
        </w:tc>
        <w:tc>
          <w:tcPr>
            <w:tcW w:w="1915" w:type="dxa"/>
            <w:shd w:val="clear" w:color="auto" w:fill="auto"/>
            <w:vAlign w:val="center"/>
          </w:tcPr>
          <w:p w14:paraId="0EEEB4EA" w14:textId="3164BF29" w:rsidR="00266C36" w:rsidRDefault="00B36147" w:rsidP="00CF2BAF">
            <w:pPr>
              <w:pStyle w:val="TableText"/>
            </w:pPr>
            <w:hyperlink r:id="rId32" w:history="1">
              <w:r w:rsidRPr="00DB39C5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9F2E7A" w14:textId="77777777" w:rsidR="00266C36" w:rsidRDefault="00266C36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6E45F" w14:textId="77777777" w:rsidR="00266C36" w:rsidRDefault="00266C36" w:rsidP="00452C01">
            <w:pPr>
              <w:pStyle w:val="TableText"/>
            </w:pPr>
            <w:r>
              <w:t> </w:t>
            </w:r>
          </w:p>
        </w:tc>
      </w:tr>
      <w:tr w:rsidR="00CF2BAF" w:rsidRPr="00360779" w14:paraId="1B07B8D8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FCB5FC" w14:textId="77777777" w:rsidR="00CF2BAF" w:rsidRDefault="00CF2BAF" w:rsidP="00CF2BA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613B" w14:textId="77777777" w:rsidR="00CF2BAF" w:rsidRDefault="00CF2BAF" w:rsidP="00105EA3">
            <w:pPr>
              <w:pStyle w:val="Credits"/>
            </w:pPr>
            <w:r>
              <w:t>30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374508B9" w14:textId="77777777" w:rsidR="00CF2BAF" w:rsidRDefault="00CF2BAF" w:rsidP="00CF2BAF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E6C7772" w14:textId="77777777" w:rsidR="00CF2BAF" w:rsidRDefault="00CF2BAF" w:rsidP="00CF2BAF">
            <w:pPr>
              <w:pStyle w:val="TableText"/>
            </w:pPr>
            <w:r>
              <w:t xml:space="preserve">Elective – </w:t>
            </w:r>
            <w:hyperlink r:id="rId33" w:history="1">
              <w:r w:rsidRPr="00B251AA">
                <w:rPr>
                  <w:color w:val="244061"/>
                  <w:u w:val="single"/>
                </w:rPr>
                <w:t>HR</w:t>
              </w:r>
              <w:r w:rsidRPr="00B251AA">
                <w:rPr>
                  <w:color w:val="244061"/>
                  <w:u w:val="single"/>
                </w:rPr>
                <w:t>M</w:t>
              </w:r>
              <w:r w:rsidRPr="00B251AA">
                <w:rPr>
                  <w:color w:val="244061"/>
                  <w:u w:val="single"/>
                </w:rPr>
                <w:t>T</w:t>
              </w:r>
            </w:hyperlink>
            <w:r w:rsidRPr="00B251AA">
              <w:rPr>
                <w:color w:val="244061"/>
                <w:u w:val="single"/>
              </w:rPr>
              <w:t xml:space="preserve"> or </w:t>
            </w:r>
            <w:hyperlink r:id="rId34" w:history="1">
              <w:r w:rsidRPr="00B251AA">
                <w:rPr>
                  <w:color w:val="244061"/>
                  <w:u w:val="single"/>
                </w:rPr>
                <w:t>IDRL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2F533D" w14:textId="77777777" w:rsidR="00CF2BAF" w:rsidRDefault="00CF2BAF" w:rsidP="00CF2BA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92AB1" w14:textId="77777777" w:rsidR="00CF2BAF" w:rsidRDefault="00CF2BAF" w:rsidP="00452C01">
            <w:pPr>
              <w:pStyle w:val="TableText"/>
            </w:pPr>
            <w:r>
              <w:t> </w:t>
            </w:r>
          </w:p>
        </w:tc>
      </w:tr>
      <w:tr w:rsidR="00105EA3" w:rsidRPr="00360779" w14:paraId="63C083C0" w14:textId="77777777" w:rsidTr="00EE450B">
        <w:trPr>
          <w:trHeight w:val="1087"/>
        </w:trPr>
        <w:tc>
          <w:tcPr>
            <w:tcW w:w="8897" w:type="dxa"/>
            <w:gridSpan w:val="7"/>
            <w:shd w:val="clear" w:color="auto" w:fill="auto"/>
            <w:vAlign w:val="center"/>
          </w:tcPr>
          <w:p w14:paraId="124B09B8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15425FBA" w14:textId="77777777" w:rsidTr="00EE450B">
        <w:trPr>
          <w:trHeight w:val="510"/>
        </w:trPr>
        <w:tc>
          <w:tcPr>
            <w:tcW w:w="8897" w:type="dxa"/>
            <w:gridSpan w:val="7"/>
            <w:shd w:val="clear" w:color="auto" w:fill="auto"/>
            <w:vAlign w:val="center"/>
          </w:tcPr>
          <w:p w14:paraId="6B8B4785" w14:textId="77777777" w:rsidR="00105EA3" w:rsidRDefault="00105EA3" w:rsidP="00105EA3">
            <w:pPr>
              <w:pStyle w:val="TableText"/>
            </w:pPr>
            <w:r w:rsidRPr="00105EA3">
              <w:lastRenderedPageBreak/>
              <w:t>M</w:t>
            </w:r>
            <w:r w:rsidR="001759F1">
              <w:t>aximum</w:t>
            </w:r>
            <w:r w:rsidRPr="00105EA3">
              <w:t xml:space="preserve"> block transfer award for an approved non-business diploma is 30 credits. </w:t>
            </w:r>
            <w:r w:rsidR="001C01C0">
              <w:t>In addition to completing the courses listed on page one, t</w:t>
            </w:r>
            <w:r w:rsidRPr="00105EA3">
              <w:t>he following courses must also be completed</w:t>
            </w:r>
            <w:r w:rsidR="001C01C0">
              <w:t>.</w:t>
            </w:r>
            <w:r w:rsidRPr="00105EA3">
              <w:t xml:space="preserve"> </w:t>
            </w:r>
            <w:r w:rsidR="001C01C0">
              <w:t>T</w:t>
            </w:r>
            <w:r w:rsidRPr="00105EA3">
              <w:t>he block transfer award can be increased for any of these courses already held or another required course already held within the BHRL</w:t>
            </w:r>
            <w:r>
              <w:t>R</w:t>
            </w:r>
            <w:r w:rsidRPr="00105EA3">
              <w:t xml:space="preserve"> program.</w:t>
            </w:r>
          </w:p>
          <w:p w14:paraId="5943B34C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6A4927D9" w14:textId="77777777" w:rsidTr="00EE450B">
        <w:trPr>
          <w:trHeight w:val="834"/>
        </w:trPr>
        <w:tc>
          <w:tcPr>
            <w:tcW w:w="817" w:type="dxa"/>
            <w:shd w:val="clear" w:color="auto" w:fill="DBE5F1"/>
          </w:tcPr>
          <w:p w14:paraId="2E5F1260" w14:textId="77777777" w:rsidR="00105EA3" w:rsidRPr="00360779" w:rsidRDefault="00105EA3" w:rsidP="00B251AA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1050C25F" w14:textId="77777777" w:rsidR="00105EA3" w:rsidRPr="00360779" w:rsidRDefault="00105EA3" w:rsidP="00B251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053D73A8" w14:textId="77777777" w:rsidR="00105EA3" w:rsidRPr="00360779" w:rsidRDefault="00105EA3" w:rsidP="00B251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gridSpan w:val="2"/>
            <w:shd w:val="clear" w:color="auto" w:fill="DBE5F1"/>
          </w:tcPr>
          <w:p w14:paraId="218AAFE7" w14:textId="77777777" w:rsidR="00105EA3" w:rsidRPr="00360779" w:rsidRDefault="00105EA3" w:rsidP="00B251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608AE96A" w14:textId="77777777" w:rsidR="00105EA3" w:rsidRPr="00360779" w:rsidRDefault="00105EA3" w:rsidP="00B251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C295FB3" w14:textId="77777777" w:rsidR="00105EA3" w:rsidRPr="00360779" w:rsidRDefault="00105EA3" w:rsidP="00B251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105EA3" w:rsidRPr="00360779" w14:paraId="452955D8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8A9729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5C5E1" w14:textId="77777777" w:rsidR="00105EA3" w:rsidRDefault="00105EA3" w:rsidP="00105EA3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15153E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DCB075" w14:textId="77777777" w:rsidR="00105EA3" w:rsidRDefault="00105EA3" w:rsidP="00105EA3">
            <w:pPr>
              <w:pStyle w:val="TableText"/>
            </w:pPr>
            <w:r w:rsidRPr="002A642E">
              <w:t xml:space="preserve">Elective – </w:t>
            </w:r>
            <w:hyperlink r:id="rId35" w:anchor="hrmt" w:history="1">
              <w:r w:rsidRPr="00105EA3">
                <w:rPr>
                  <w:u w:val="single"/>
                </w:rPr>
                <w:t>HRMT</w:t>
              </w:r>
            </w:hyperlink>
            <w:r w:rsidRPr="00105EA3">
              <w:rPr>
                <w:u w:val="single"/>
              </w:rPr>
              <w:t xml:space="preserve"> or </w:t>
            </w:r>
            <w:hyperlink r:id="rId36" w:history="1">
              <w:r w:rsidRPr="00105EA3">
                <w:rPr>
                  <w:u w:val="single"/>
                </w:rPr>
                <w:t>I</w:t>
              </w:r>
              <w:r w:rsidRPr="00105EA3">
                <w:rPr>
                  <w:u w:val="single"/>
                </w:rPr>
                <w:t>D</w:t>
              </w:r>
              <w:r w:rsidRPr="00105EA3">
                <w:rPr>
                  <w:u w:val="single"/>
                </w:rPr>
                <w:t>RL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6A568A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86C466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536224BF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CF22AC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20D34" w14:textId="77777777" w:rsidR="00105EA3" w:rsidRDefault="00105EA3" w:rsidP="00105EA3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1733C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35E9BA4" w14:textId="77777777" w:rsidR="00105EA3" w:rsidRDefault="00105EA3" w:rsidP="00B251AA">
            <w:pPr>
              <w:pStyle w:val="TableText"/>
            </w:pPr>
            <w:r w:rsidRPr="002A642E">
              <w:t xml:space="preserve">Elective – </w:t>
            </w:r>
            <w:hyperlink r:id="rId37" w:history="1">
              <w:r w:rsidRPr="00105EA3">
                <w:rPr>
                  <w:u w:val="single"/>
                </w:rPr>
                <w:t>HR</w:t>
              </w:r>
              <w:r w:rsidRPr="00105EA3">
                <w:rPr>
                  <w:u w:val="single"/>
                </w:rPr>
                <w:t>M</w:t>
              </w:r>
              <w:r w:rsidRPr="00105EA3">
                <w:rPr>
                  <w:u w:val="single"/>
                </w:rPr>
                <w:t>T</w:t>
              </w:r>
            </w:hyperlink>
            <w:r w:rsidRPr="00105EA3">
              <w:rPr>
                <w:u w:val="single"/>
              </w:rPr>
              <w:t xml:space="preserve"> or </w:t>
            </w:r>
            <w:hyperlink r:id="rId38" w:history="1">
              <w:r w:rsidRPr="00105EA3">
                <w:rPr>
                  <w:u w:val="single"/>
                </w:rPr>
                <w:t>ID</w:t>
              </w:r>
              <w:r w:rsidRPr="00105EA3">
                <w:rPr>
                  <w:u w:val="single"/>
                </w:rPr>
                <w:t>R</w:t>
              </w:r>
              <w:r w:rsidRPr="00105EA3">
                <w:rPr>
                  <w:u w:val="single"/>
                </w:rPr>
                <w:t>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85AA0E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9E63A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19C600F2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289FE1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7B8A" w14:textId="77777777" w:rsidR="00105EA3" w:rsidRDefault="00105EA3" w:rsidP="00105EA3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24044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58302B" w14:textId="77777777" w:rsidR="00105EA3" w:rsidRDefault="00105EA3" w:rsidP="00B251AA">
            <w:pPr>
              <w:pStyle w:val="TableText"/>
            </w:pPr>
            <w:r w:rsidRPr="002A642E">
              <w:t xml:space="preserve">Elective – </w:t>
            </w:r>
            <w:hyperlink r:id="rId39" w:history="1">
              <w:r w:rsidRPr="00105EA3">
                <w:rPr>
                  <w:u w:val="single"/>
                </w:rPr>
                <w:t>HR</w:t>
              </w:r>
              <w:r w:rsidRPr="00105EA3">
                <w:rPr>
                  <w:u w:val="single"/>
                </w:rPr>
                <w:t>M</w:t>
              </w:r>
              <w:r w:rsidRPr="00105EA3">
                <w:rPr>
                  <w:u w:val="single"/>
                </w:rPr>
                <w:t>T</w:t>
              </w:r>
            </w:hyperlink>
            <w:r w:rsidRPr="00105EA3">
              <w:rPr>
                <w:u w:val="single"/>
              </w:rPr>
              <w:t xml:space="preserve"> or </w:t>
            </w:r>
            <w:hyperlink r:id="rId40" w:history="1">
              <w:r w:rsidRPr="00105EA3">
                <w:rPr>
                  <w:u w:val="single"/>
                </w:rPr>
                <w:t>ID</w:t>
              </w:r>
              <w:r w:rsidRPr="00105EA3">
                <w:rPr>
                  <w:u w:val="single"/>
                </w:rPr>
                <w:t>R</w:t>
              </w:r>
              <w:r w:rsidRPr="00105EA3">
                <w:rPr>
                  <w:u w:val="single"/>
                </w:rPr>
                <w:t>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E3CB5B1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31980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14896CB0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1EF54A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50C9F" w14:textId="77777777" w:rsidR="00105EA3" w:rsidRDefault="00105EA3" w:rsidP="00105EA3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20973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F216AE1" w14:textId="19DC1202" w:rsidR="00105EA3" w:rsidRDefault="00EE450B" w:rsidP="00105EA3">
            <w:pPr>
              <w:pStyle w:val="TableText"/>
            </w:pPr>
            <w:hyperlink r:id="rId41" w:history="1">
              <w:r w:rsidR="00105EA3" w:rsidRP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00DF503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7D1B35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17DC1D32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1B6AC3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BAEFA" w14:textId="77777777" w:rsidR="00105EA3" w:rsidRDefault="00105EA3" w:rsidP="00105EA3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49BA4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63AEEE" w14:textId="096D9757" w:rsidR="00105EA3" w:rsidRDefault="00EE450B" w:rsidP="00105EA3">
            <w:pPr>
              <w:pStyle w:val="TableText"/>
            </w:pPr>
            <w:hyperlink r:id="rId42" w:history="1">
              <w:r w:rsidRPr="00EE450B">
                <w:rPr>
                  <w:rStyle w:val="Hyperlink"/>
                </w:rPr>
                <w:t>Elec</w:t>
              </w:r>
              <w:r w:rsidRPr="00EE450B">
                <w:rPr>
                  <w:rStyle w:val="Hyperlink"/>
                </w:rPr>
                <w:t>t</w:t>
              </w:r>
              <w:r w:rsidRPr="00EE450B">
                <w:rPr>
                  <w:rStyle w:val="Hyperlink"/>
                </w:rPr>
                <w:t>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3ABDD3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10791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19171D3B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58C0A2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2ECE7" w14:textId="77777777" w:rsidR="00105EA3" w:rsidRDefault="00105EA3" w:rsidP="00105EA3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7430C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C3D0C3" w14:textId="020C2F11" w:rsidR="00105EA3" w:rsidRDefault="00EE450B" w:rsidP="00105EA3">
            <w:pPr>
              <w:pStyle w:val="TableText"/>
            </w:pPr>
            <w:hyperlink r:id="rId43" w:history="1">
              <w:r w:rsidRP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32CCBE4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B7D5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3C114710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C9126A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425E8" w14:textId="77777777" w:rsidR="00105EA3" w:rsidRDefault="00105EA3" w:rsidP="00105EA3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EEE01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BD6319" w14:textId="1FEE80C3" w:rsidR="00105EA3" w:rsidRDefault="00EE450B" w:rsidP="00105EA3">
            <w:pPr>
              <w:pStyle w:val="TableText"/>
            </w:pPr>
            <w:hyperlink r:id="rId44" w:history="1">
              <w:r w:rsidRP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8F7B8A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34594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00BC4257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DFF3DF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BA1A8" w14:textId="77777777" w:rsidR="00105EA3" w:rsidRDefault="00105EA3" w:rsidP="00105EA3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957662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EB6AF7" w14:textId="776C4659" w:rsidR="00105EA3" w:rsidRDefault="00EE450B" w:rsidP="00105EA3">
            <w:pPr>
              <w:pStyle w:val="TableText"/>
            </w:pPr>
            <w:hyperlink r:id="rId45" w:history="1">
              <w:r w:rsidRP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7345A5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3A276" w14:textId="77777777" w:rsidR="00105EA3" w:rsidRDefault="00105EA3" w:rsidP="00452C01">
            <w:pPr>
              <w:pStyle w:val="TableText"/>
            </w:pPr>
          </w:p>
        </w:tc>
      </w:tr>
      <w:tr w:rsidR="00105EA3" w:rsidRPr="00360779" w14:paraId="2F07156F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49C34B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5FD3A" w14:textId="77777777" w:rsidR="00105EA3" w:rsidRDefault="00105EA3" w:rsidP="00105EA3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604501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441447" w14:textId="40DDD93C" w:rsidR="00105EA3" w:rsidRDefault="00EE450B" w:rsidP="00105EA3">
            <w:pPr>
              <w:pStyle w:val="TableText"/>
            </w:pPr>
            <w:hyperlink r:id="rId46" w:history="1">
              <w:r w:rsidRP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BCAA443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C6839" w14:textId="77777777" w:rsidR="00105EA3" w:rsidRDefault="00105EA3" w:rsidP="00452C01">
            <w:pPr>
              <w:pStyle w:val="TableText"/>
            </w:pPr>
            <w:r>
              <w:t> </w:t>
            </w:r>
          </w:p>
        </w:tc>
      </w:tr>
      <w:tr w:rsidR="00105EA3" w:rsidRPr="00360779" w14:paraId="6D3291DF" w14:textId="77777777" w:rsidTr="00EE450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CE006E" w14:textId="77777777" w:rsidR="00105EA3" w:rsidRDefault="00105EA3" w:rsidP="00105EA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34787" w14:textId="77777777" w:rsidR="00105EA3" w:rsidRDefault="00105EA3" w:rsidP="00105EA3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BD3D1" w14:textId="77777777" w:rsidR="00105EA3" w:rsidRDefault="00105EA3" w:rsidP="00105EA3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C9E798" w14:textId="3C805041" w:rsidR="00105EA3" w:rsidRDefault="00EE450B" w:rsidP="00105EA3">
            <w:pPr>
              <w:pStyle w:val="TableText"/>
            </w:pPr>
            <w:hyperlink r:id="rId47" w:history="1">
              <w:r w:rsidRPr="00EE450B">
                <w:rPr>
                  <w:rStyle w:val="Hyperlink"/>
                </w:rPr>
                <w:t>Ele</w:t>
              </w:r>
              <w:r w:rsidRPr="00EE450B">
                <w:rPr>
                  <w:rStyle w:val="Hyperlink"/>
                </w:rPr>
                <w:t>c</w:t>
              </w:r>
              <w:r w:rsidRPr="00EE450B">
                <w:rPr>
                  <w:rStyle w:val="Hyperlink"/>
                </w:rPr>
                <w:t>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6C696EB" w14:textId="77777777" w:rsidR="00105EA3" w:rsidRDefault="00105EA3" w:rsidP="00452C0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8BA5F" w14:textId="77777777" w:rsidR="00105EA3" w:rsidRDefault="00105EA3" w:rsidP="00452C01">
            <w:pPr>
              <w:pStyle w:val="TableText"/>
            </w:pPr>
            <w:r>
              <w:t> </w:t>
            </w:r>
          </w:p>
        </w:tc>
      </w:tr>
    </w:tbl>
    <w:p w14:paraId="4812FD2A" w14:textId="77777777" w:rsidR="003157DD" w:rsidRPr="00C65938" w:rsidRDefault="003157DD" w:rsidP="00CF45E8">
      <w:pPr>
        <w:ind w:left="-142"/>
        <w:rPr>
          <w:rFonts w:cs="Arial"/>
        </w:rPr>
      </w:pPr>
    </w:p>
    <w:p w14:paraId="1B87167E" w14:textId="77777777" w:rsidR="006938D2" w:rsidRDefault="00925439" w:rsidP="00CF45E8">
      <w:pPr>
        <w:ind w:left="-142"/>
        <w:rPr>
          <w:rFonts w:cs="Arial"/>
          <w:i/>
          <w:szCs w:val="20"/>
        </w:rPr>
      </w:pPr>
      <w:r w:rsidRPr="00D232B1">
        <w:rPr>
          <w:rFonts w:cs="Arial"/>
          <w:b/>
          <w:bCs/>
          <w:i/>
          <w:szCs w:val="20"/>
        </w:rPr>
        <w:t>Note:</w:t>
      </w:r>
      <w:r w:rsidRPr="00C65938">
        <w:rPr>
          <w:rFonts w:cs="Arial"/>
          <w:i/>
          <w:szCs w:val="20"/>
        </w:rPr>
        <w:t xml:space="preserve"> </w:t>
      </w:r>
      <w:r w:rsidR="00452C01" w:rsidRPr="00452C01">
        <w:rPr>
          <w:rFonts w:cs="Arial"/>
          <w:i/>
          <w:szCs w:val="20"/>
        </w:rPr>
        <w:t>Preparatory (100) level courses are not permitted in this program.</w:t>
      </w:r>
    </w:p>
    <w:p w14:paraId="28769845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68BC6741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1ED220CD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7E41196F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2279A3AC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2F88CA23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2DBF7396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24C21749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45042489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4AFA6D84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04484151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62FE642A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545591BF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71C53B34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367D2C88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7B2233F2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6A2FC33F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45623D4D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64D67EA6" w14:textId="77777777" w:rsidR="00C1737D" w:rsidRDefault="00C1737D" w:rsidP="00CF45E8">
      <w:pPr>
        <w:ind w:left="-142"/>
        <w:rPr>
          <w:rFonts w:cs="Arial"/>
          <w:i/>
          <w:szCs w:val="20"/>
        </w:rPr>
      </w:pPr>
    </w:p>
    <w:p w14:paraId="13C591AE" w14:textId="77777777" w:rsidR="00C1737D" w:rsidRPr="00C1737D" w:rsidRDefault="00C1737D" w:rsidP="00CF45E8">
      <w:pPr>
        <w:ind w:left="-142"/>
        <w:rPr>
          <w:rFonts w:cs="Arial"/>
          <w:iCs/>
          <w:szCs w:val="20"/>
        </w:rPr>
      </w:pPr>
      <w:r w:rsidRPr="00C1737D">
        <w:rPr>
          <w:rFonts w:cs="Arial"/>
          <w:iCs/>
          <w:szCs w:val="20"/>
        </w:rPr>
        <w:t xml:space="preserve">Last modification: </w:t>
      </w:r>
      <w:r w:rsidR="003F0F0B">
        <w:rPr>
          <w:rFonts w:cs="Arial"/>
          <w:iCs/>
          <w:szCs w:val="20"/>
        </w:rPr>
        <w:t>July 22</w:t>
      </w:r>
      <w:r w:rsidRPr="00C1737D">
        <w:rPr>
          <w:rFonts w:cs="Arial"/>
          <w:iCs/>
          <w:szCs w:val="20"/>
        </w:rPr>
        <w:t>, 202</w:t>
      </w:r>
      <w:r w:rsidR="003F0F0B">
        <w:rPr>
          <w:rFonts w:cs="Arial"/>
          <w:iCs/>
          <w:szCs w:val="20"/>
        </w:rPr>
        <w:t>2</w:t>
      </w:r>
    </w:p>
    <w:sectPr w:rsidR="00C1737D" w:rsidRPr="00C1737D" w:rsidSect="00FA72AF">
      <w:headerReference w:type="even" r:id="rId48"/>
      <w:headerReference w:type="default" r:id="rId49"/>
      <w:footerReference w:type="even" r:id="rId50"/>
      <w:footerReference w:type="default" r:id="rId5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EB5D" w14:textId="77777777" w:rsidR="008902FE" w:rsidRDefault="008902FE" w:rsidP="007204D7">
      <w:r>
        <w:separator/>
      </w:r>
    </w:p>
  </w:endnote>
  <w:endnote w:type="continuationSeparator" w:id="0">
    <w:p w14:paraId="07832B73" w14:textId="77777777" w:rsidR="008902FE" w:rsidRDefault="008902F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E60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79FB" w14:textId="0E560764" w:rsidR="00127279" w:rsidRPr="004D2FC3" w:rsidRDefault="009648E3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BA3BE" wp14:editId="2ADD7EC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212014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BCCD82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BA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9BCCD82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42563A6" wp14:editId="328929D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5917676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6A8">
      <w:rPr>
        <w:noProof/>
      </w:rPr>
      <w:drawing>
        <wp:inline distT="0" distB="0" distL="0" distR="0" wp14:anchorId="2DBF0378" wp14:editId="7A879D5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7EDA" w14:textId="77777777" w:rsidR="008902FE" w:rsidRDefault="008902FE" w:rsidP="007204D7">
      <w:r>
        <w:separator/>
      </w:r>
    </w:p>
  </w:footnote>
  <w:footnote w:type="continuationSeparator" w:id="0">
    <w:p w14:paraId="6365F3C5" w14:textId="77777777" w:rsidR="008902FE" w:rsidRDefault="008902F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C5FD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F2F5473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3010" w14:textId="760E4537" w:rsidR="00127279" w:rsidRPr="00360779" w:rsidRDefault="009648E3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95FCD92" wp14:editId="7126BC2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4196115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96CB6E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FCD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96CB6EA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B5E4DCD" wp14:editId="4DCE017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2009BE">
      <w:t>2</w:t>
    </w:r>
    <w:r w:rsidR="00D232B1">
      <w:t>3</w:t>
    </w:r>
    <w:r w:rsidR="00127279" w:rsidRPr="00360779">
      <w:t xml:space="preserve"> / 20</w:t>
    </w:r>
    <w:r w:rsidR="007171F4">
      <w:t>2</w:t>
    </w:r>
    <w:r w:rsidR="00D232B1">
      <w:t>4</w:t>
    </w:r>
  </w:p>
  <w:p w14:paraId="295EA28A" w14:textId="77777777" w:rsidR="00127279" w:rsidRDefault="00127279">
    <w:pPr>
      <w:pStyle w:val="Header"/>
    </w:pPr>
  </w:p>
  <w:p w14:paraId="2E8E61F9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7E39"/>
    <w:rsid w:val="00041A5D"/>
    <w:rsid w:val="00046DA0"/>
    <w:rsid w:val="00071530"/>
    <w:rsid w:val="0007503A"/>
    <w:rsid w:val="000A2223"/>
    <w:rsid w:val="000A2E9A"/>
    <w:rsid w:val="000A4D67"/>
    <w:rsid w:val="000A74B7"/>
    <w:rsid w:val="000C6321"/>
    <w:rsid w:val="000D3069"/>
    <w:rsid w:val="00105EA3"/>
    <w:rsid w:val="00110300"/>
    <w:rsid w:val="0012357E"/>
    <w:rsid w:val="00127279"/>
    <w:rsid w:val="001421A8"/>
    <w:rsid w:val="00163542"/>
    <w:rsid w:val="00163CEF"/>
    <w:rsid w:val="001759F1"/>
    <w:rsid w:val="0018384B"/>
    <w:rsid w:val="001A1CC4"/>
    <w:rsid w:val="001A6C1F"/>
    <w:rsid w:val="001B457B"/>
    <w:rsid w:val="001C01C0"/>
    <w:rsid w:val="001C173F"/>
    <w:rsid w:val="001C3174"/>
    <w:rsid w:val="001E08BA"/>
    <w:rsid w:val="001E4C32"/>
    <w:rsid w:val="002009BE"/>
    <w:rsid w:val="002019BF"/>
    <w:rsid w:val="00266C36"/>
    <w:rsid w:val="00276DD9"/>
    <w:rsid w:val="0028049B"/>
    <w:rsid w:val="002844DE"/>
    <w:rsid w:val="00284BDC"/>
    <w:rsid w:val="00295D49"/>
    <w:rsid w:val="002A37C5"/>
    <w:rsid w:val="002A674F"/>
    <w:rsid w:val="002D3216"/>
    <w:rsid w:val="002E244B"/>
    <w:rsid w:val="002F029D"/>
    <w:rsid w:val="00306AE3"/>
    <w:rsid w:val="00313790"/>
    <w:rsid w:val="0031574F"/>
    <w:rsid w:val="003157DD"/>
    <w:rsid w:val="00320C7D"/>
    <w:rsid w:val="00346F02"/>
    <w:rsid w:val="0035258B"/>
    <w:rsid w:val="00354A60"/>
    <w:rsid w:val="00360779"/>
    <w:rsid w:val="00365D00"/>
    <w:rsid w:val="003715CB"/>
    <w:rsid w:val="00373A59"/>
    <w:rsid w:val="00382023"/>
    <w:rsid w:val="00383FA6"/>
    <w:rsid w:val="00393516"/>
    <w:rsid w:val="003B2007"/>
    <w:rsid w:val="003C2218"/>
    <w:rsid w:val="003F0F0B"/>
    <w:rsid w:val="003F3A20"/>
    <w:rsid w:val="00404180"/>
    <w:rsid w:val="00405889"/>
    <w:rsid w:val="00405ED1"/>
    <w:rsid w:val="00437B30"/>
    <w:rsid w:val="00452C01"/>
    <w:rsid w:val="00453D26"/>
    <w:rsid w:val="0045707E"/>
    <w:rsid w:val="004A2159"/>
    <w:rsid w:val="004D2FC3"/>
    <w:rsid w:val="004D47BF"/>
    <w:rsid w:val="004E0791"/>
    <w:rsid w:val="004F4FFB"/>
    <w:rsid w:val="00504860"/>
    <w:rsid w:val="00531544"/>
    <w:rsid w:val="0054390F"/>
    <w:rsid w:val="005C6ACC"/>
    <w:rsid w:val="005D4952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5B46"/>
    <w:rsid w:val="006E700D"/>
    <w:rsid w:val="006F1EB8"/>
    <w:rsid w:val="006F4AC0"/>
    <w:rsid w:val="006F5091"/>
    <w:rsid w:val="007171F4"/>
    <w:rsid w:val="007204D7"/>
    <w:rsid w:val="00724F85"/>
    <w:rsid w:val="00727965"/>
    <w:rsid w:val="007339AD"/>
    <w:rsid w:val="007916C2"/>
    <w:rsid w:val="00797B83"/>
    <w:rsid w:val="007A4506"/>
    <w:rsid w:val="007B2D6E"/>
    <w:rsid w:val="007C53E3"/>
    <w:rsid w:val="007C5F48"/>
    <w:rsid w:val="007D604D"/>
    <w:rsid w:val="00807AFE"/>
    <w:rsid w:val="00814A73"/>
    <w:rsid w:val="00831A40"/>
    <w:rsid w:val="00841C88"/>
    <w:rsid w:val="00857384"/>
    <w:rsid w:val="008614F4"/>
    <w:rsid w:val="0086254B"/>
    <w:rsid w:val="0087406A"/>
    <w:rsid w:val="00877B26"/>
    <w:rsid w:val="00883FF3"/>
    <w:rsid w:val="008902FE"/>
    <w:rsid w:val="008B51A7"/>
    <w:rsid w:val="008C6532"/>
    <w:rsid w:val="008E197B"/>
    <w:rsid w:val="008E7CA7"/>
    <w:rsid w:val="008F1C4C"/>
    <w:rsid w:val="0090078A"/>
    <w:rsid w:val="00925439"/>
    <w:rsid w:val="009552D2"/>
    <w:rsid w:val="009648E3"/>
    <w:rsid w:val="00991A17"/>
    <w:rsid w:val="009A08DD"/>
    <w:rsid w:val="009A27B2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8781B"/>
    <w:rsid w:val="00A9416F"/>
    <w:rsid w:val="00AA6BD4"/>
    <w:rsid w:val="00AA70F7"/>
    <w:rsid w:val="00AC4347"/>
    <w:rsid w:val="00AF3B24"/>
    <w:rsid w:val="00B05A8D"/>
    <w:rsid w:val="00B06EC8"/>
    <w:rsid w:val="00B251AA"/>
    <w:rsid w:val="00B31834"/>
    <w:rsid w:val="00B34499"/>
    <w:rsid w:val="00B36147"/>
    <w:rsid w:val="00B36F6D"/>
    <w:rsid w:val="00B904D7"/>
    <w:rsid w:val="00BA1EB9"/>
    <w:rsid w:val="00BB5399"/>
    <w:rsid w:val="00BD149D"/>
    <w:rsid w:val="00BE07E4"/>
    <w:rsid w:val="00BE0E4C"/>
    <w:rsid w:val="00BF4DBF"/>
    <w:rsid w:val="00C1737D"/>
    <w:rsid w:val="00C2319E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2BAF"/>
    <w:rsid w:val="00CF4147"/>
    <w:rsid w:val="00CF45E8"/>
    <w:rsid w:val="00D16090"/>
    <w:rsid w:val="00D231C8"/>
    <w:rsid w:val="00D232B1"/>
    <w:rsid w:val="00D240D3"/>
    <w:rsid w:val="00D410C6"/>
    <w:rsid w:val="00DA3C99"/>
    <w:rsid w:val="00DA5586"/>
    <w:rsid w:val="00DB39C5"/>
    <w:rsid w:val="00DF67A9"/>
    <w:rsid w:val="00E06BF5"/>
    <w:rsid w:val="00E108E6"/>
    <w:rsid w:val="00E16B8E"/>
    <w:rsid w:val="00E17E70"/>
    <w:rsid w:val="00E218FF"/>
    <w:rsid w:val="00E23B6A"/>
    <w:rsid w:val="00EA19CC"/>
    <w:rsid w:val="00EA652D"/>
    <w:rsid w:val="00EC0856"/>
    <w:rsid w:val="00EE450B"/>
    <w:rsid w:val="00EF25F7"/>
    <w:rsid w:val="00F043E5"/>
    <w:rsid w:val="00F121E3"/>
    <w:rsid w:val="00F23B40"/>
    <w:rsid w:val="00F260B1"/>
    <w:rsid w:val="00F33AE1"/>
    <w:rsid w:val="00F56BF4"/>
    <w:rsid w:val="00F56E36"/>
    <w:rsid w:val="00F8430A"/>
    <w:rsid w:val="00FA72AF"/>
    <w:rsid w:val="00FB1EFD"/>
    <w:rsid w:val="00FC6FB6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0D530D4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284B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4BD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B39C5"/>
    <w:rPr>
      <w:color w:val="954F72"/>
      <w:u w:val="single"/>
    </w:rPr>
  </w:style>
  <w:style w:type="character" w:customStyle="1" w:styleId="ui-provider">
    <w:name w:val="ui-provider"/>
    <w:basedOn w:val="DefaultParagraphFont"/>
    <w:rsid w:val="00D2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syllabi/idrl/idrl215.php" TargetMode="External"/><Relationship Id="rId18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26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39" Type="http://schemas.openxmlformats.org/officeDocument/2006/relationships/hyperlink" Target="https://www.athabascau.ca/course/index.html?/undergraduate/all/human-resource-management/" TargetMode="External"/><Relationship Id="rId21" Type="http://schemas.openxmlformats.org/officeDocument/2006/relationships/hyperlink" Target="http://www.athabascau.ca/html/syllabi/lbst/lbst330.htm" TargetMode="External"/><Relationship Id="rId34" Type="http://schemas.openxmlformats.org/officeDocument/2006/relationships/hyperlink" Target="https://www.athabascau.ca/course/index.html?/undergraduate/all/industrial-relations/" TargetMode="External"/><Relationship Id="rId42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47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29" Type="http://schemas.openxmlformats.org/officeDocument/2006/relationships/hyperlink" Target="http://www.athabascau.ca/html/syllabi/soci/soci321.htm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32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37" Type="http://schemas.openxmlformats.org/officeDocument/2006/relationships/hyperlink" Target="https://www.athabascau.ca/course/index.html?/undergraduate/all/human-resource-management/" TargetMode="External"/><Relationship Id="rId40" Type="http://schemas.openxmlformats.org/officeDocument/2006/relationships/hyperlink" Target="https://www.athabascau.ca/course/index.html?/undergraduate/all/industrial-relations/" TargetMode="External"/><Relationship Id="rId45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2/undergraduate/program-regulations/degrees/bachelor-of-human-resources-and-labour-relations-post-diploma.html" TargetMode="External"/><Relationship Id="rId19" Type="http://schemas.openxmlformats.org/officeDocument/2006/relationships/hyperlink" Target="http://www.athabascau.ca/html/syllabi/idrl/idrl309.htm" TargetMode="External"/><Relationship Id="rId31" Type="http://schemas.openxmlformats.org/officeDocument/2006/relationships/hyperlink" Target="http://www.athabascau.ca/html/syllabi/sosc/sosc366.htm" TargetMode="External"/><Relationship Id="rId44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22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27" Type="http://schemas.openxmlformats.org/officeDocument/2006/relationships/hyperlink" Target="http://www.athabascau.ca/html/syllabi/idrl/idrl320.htm" TargetMode="External"/><Relationship Id="rId30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35" Type="http://schemas.openxmlformats.org/officeDocument/2006/relationships/hyperlink" Target="http://www2.athabascau.ca/course/ug_subject/gh.php" TargetMode="External"/><Relationship Id="rId43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://www.athabascau.ca/syllabi/educ/educ317.php" TargetMode="External"/><Relationship Id="rId25" Type="http://schemas.openxmlformats.org/officeDocument/2006/relationships/hyperlink" Target="http://www.athabascau.ca/syllabi/idrl/idrl316.php" TargetMode="External"/><Relationship Id="rId33" Type="http://schemas.openxmlformats.org/officeDocument/2006/relationships/hyperlink" Target="https://www.athabascau.ca/course/index.html?/undergraduate/all/human-resource-management/" TargetMode="External"/><Relationship Id="rId38" Type="http://schemas.openxmlformats.org/officeDocument/2006/relationships/hyperlink" Target="https://www.athabascau.ca/course/index.html?/undergraduate/all/industrial-relations/" TargetMode="External"/><Relationship Id="rId46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20" Type="http://schemas.openxmlformats.org/officeDocument/2006/relationships/hyperlink" Target="http://www.athabascau.ca/syllabi/lgst/lgst310.php" TargetMode="External"/><Relationship Id="rId41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hrmt/hrmt386.htm" TargetMode="External"/><Relationship Id="rId23" Type="http://schemas.openxmlformats.org/officeDocument/2006/relationships/hyperlink" Target="http://www.athabascau.ca/html/syllabi/idrl/idrl308.htm" TargetMode="External"/><Relationship Id="rId28" Type="http://schemas.openxmlformats.org/officeDocument/2006/relationships/hyperlink" Target="https://www.athabascau.ca/calendar/2023/undergraduate/program-regulations/degrees/bachelor-of-human-resources-and-labour-relations-post-diploma.html" TargetMode="External"/><Relationship Id="rId36" Type="http://schemas.openxmlformats.org/officeDocument/2006/relationships/hyperlink" Target="https://www.athabascau.ca/course/index.html?/undergraduate/all/industrial-relations/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C6E3BC2D-E2E2-4507-95B4-52327C50EBE8}"/>
</file>

<file path=customXml/itemProps2.xml><?xml version="1.0" encoding="utf-8"?>
<ds:datastoreItem xmlns:ds="http://schemas.openxmlformats.org/officeDocument/2006/customXml" ds:itemID="{8F327C04-23D2-49F3-95E8-C03745B98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1C4B0-FF74-4AB0-95F2-54CEFE62B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E9777-407A-4D8F-AEB9-F88321882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6587</CharactersWithSpaces>
  <SharedDoc>false</SharedDoc>
  <HyperlinkBase/>
  <HLinks>
    <vt:vector size="222" baseType="variant">
      <vt:variant>
        <vt:i4>3604526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3604526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3604526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3604526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3604526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3604526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https://www.athabascau.ca/calendar/undergraduate/program-regulations/degrees/bachelor-of-human-resources-and-labour-relations-post-diploma.html</vt:lpwstr>
      </vt:variant>
      <vt:variant>
        <vt:lpwstr/>
      </vt:variant>
      <vt:variant>
        <vt:i4>4259922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4456563</vt:i4>
      </vt:variant>
      <vt:variant>
        <vt:i4>72</vt:i4>
      </vt:variant>
      <vt:variant>
        <vt:i4>0</vt:i4>
      </vt:variant>
      <vt:variant>
        <vt:i4>5</vt:i4>
      </vt:variant>
      <vt:variant>
        <vt:lpwstr>http://www2.athabascau.ca/course/ug_subject/gh.php</vt:lpwstr>
      </vt:variant>
      <vt:variant>
        <vt:lpwstr>hrmt</vt:lpwstr>
      </vt:variant>
      <vt:variant>
        <vt:i4>4259922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4194328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6488126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http://www.athabascau.ca/html/syllabi/sosc/sosc366.htm</vt:lpwstr>
      </vt:variant>
      <vt:variant>
        <vt:lpwstr/>
      </vt:variant>
      <vt:variant>
        <vt:i4>4194328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8257568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http://www.athabascau.ca/html/syllabi/soci/soci321.htm</vt:lpwstr>
      </vt:variant>
      <vt:variant>
        <vt:lpwstr/>
      </vt:variant>
      <vt:variant>
        <vt:i4>4194328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7995429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http://www.athabascau.ca/html/syllabi/idrl/idrl320.htm</vt:lpwstr>
      </vt:variant>
      <vt:variant>
        <vt:lpwstr/>
      </vt:variant>
      <vt:variant>
        <vt:i4>4194328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4259904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http://www.athabascau.ca/syllabi/idrl/idrl316.php</vt:lpwstr>
      </vt:variant>
      <vt:variant>
        <vt:lpwstr/>
      </vt:variant>
      <vt:variant>
        <vt:i4>4194328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7471143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http://www.athabascau.ca/html/syllabi/idrl/idrl308.htm</vt:lpwstr>
      </vt:variant>
      <vt:variant>
        <vt:lpwstr/>
      </vt:variant>
      <vt:variant>
        <vt:i4>4194328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6291518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http://www.athabascau.ca/html/syllabi/lbst/lbst330.htm</vt:lpwstr>
      </vt:variant>
      <vt:variant>
        <vt:lpwstr/>
      </vt:variant>
      <vt:variant>
        <vt:i4>6160473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http://www.athabascau.ca/syllabi/lgst/lgst310.php</vt:lpwstr>
      </vt:variant>
      <vt:variant>
        <vt:lpwstr/>
      </vt:variant>
      <vt:variant>
        <vt:i4>7536679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http://www.athabascau.ca/html/syllabi/idrl/idrl309.htm</vt:lpwstr>
      </vt:variant>
      <vt:variant>
        <vt:lpwstr/>
      </vt:variant>
      <vt:variant>
        <vt:i4>4194328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4522053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http://www.athabascau.ca/syllabi/educ/educ317.php</vt:lpwstr>
      </vt:variant>
      <vt:variant>
        <vt:lpwstr/>
      </vt:variant>
      <vt:variant>
        <vt:i4>4194328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http://www.athabascau.ca/syllabi/idrl/idrl215.php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https://www.athabascau.ca/calendar/2022/undergraduate/program-regulations/degrees/bachelor-of-human-resources-and-labour-relations-post-diploma.html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2023-08-22T20:33:00Z</dcterms:created>
  <dcterms:modified xsi:type="dcterms:W3CDTF">2023-08-22T20:33:00Z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