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24975734" name="name1531f85e34b225" descr="programplan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6.jpg"/>
                          <pic:cNvPicPr/>
                        </pic:nvPicPr>
                        <pic:blipFill>
                          <a:blip r:embed="rId1531f85e34b1e8"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1f85e34b4b1"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1f85e34b5d6"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1f85e34b6e7" w:history="1">
              <w:r>
                <w:rPr>
                  <w:rFonts w:ascii="verdana" w:hAnsi="verdana" w:cs="verdana"/>
                  <w:b/>
                  <w:color w:val="006600"/>
                  <w:position w:val="-2"/>
                  <w:sz w:val="17"/>
                  <w:szCs w:val="17"/>
                </w:rPr>
                <w:t xml:space="preserve">2006/2007 Program Plans</w:t>
              </w:r>
            </w:hyperlink>
            <w:r>
              <w:rPr>
                <w:rFonts w:ascii="verdana" w:hAnsi="verdana" w:cs="verdana"/>
                <w:color w:val="000000"/>
                <w:position w:val="-2"/>
                <w:sz w:val="17"/>
                <w:szCs w:val="17"/>
              </w:rPr>
              <w:t xml:space="preserve"> | </w:t>
            </w:r>
            <w:hyperlink r:id="rId1531f85e34b7f7"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1f85e34ba17"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w:t>
            </w:r>
            <w:r>
              <w:br/>
              <w:br/>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Professional Arts - Criminal Justice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2006/2007 Calendar Requirements -</w:t>
                  </w:r>
                  <w:r>
                    <w:rPr>
                      <w:rFonts w:ascii="verdana" w:hAnsi="verdana" w:cs="verdana"/>
                      <w:color w:val="000000"/>
                      <w:position w:val="-2"/>
                      <w:sz w:val="17"/>
                      <w:szCs w:val="17"/>
                    </w:rPr>
                    <w:t xml:space="preserve"> effective January 2007</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A research methods or statistics course</w:t>
                  </w:r>
                  <w:r>
                    <w:rPr>
                      <w:rFonts w:ascii="verdana" w:hAnsi="verdana" w:cs="verdana"/>
                      <w:color w:val="000000"/>
                      <w:position w:val="3"/>
                      <w:sz w:val="15"/>
                      <w:szCs w:val="15"/>
                      <w:vertAlign w:val="superscript"/>
                    </w:rPr>
                    <w:t xml:space="preserve">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Common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See examples of acceptable Common Core courses below.</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A writing course or English literature</w:t>
                  </w:r>
                  <w:r>
                    <w:rPr>
                      <w:rFonts w:ascii="verdana" w:hAnsi="verdana" w:cs="verdana"/>
                      <w:color w:val="000000"/>
                      <w:position w:val="3"/>
                      <w:sz w:val="15"/>
                      <w:szCs w:val="15"/>
                      <w:vertAlign w:val="superscript"/>
                    </w:rPr>
                    <w:t xml:space="preserve">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Common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A critical and analytical thinking course</w:t>
                  </w:r>
                  <w:r>
                    <w:rPr>
                      <w:rFonts w:ascii="verdana" w:hAnsi="verdana" w:cs="verdana"/>
                      <w:color w:val="000000"/>
                      <w:position w:val="3"/>
                      <w:sz w:val="15"/>
                      <w:szCs w:val="15"/>
                      <w:vertAlign w:val="superscript"/>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Common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A professional ethics course</w:t>
                  </w:r>
                  <w:r>
                    <w:rPr>
                      <w:rFonts w:ascii="verdana" w:hAnsi="verdana" w:cs="verdana"/>
                      <w:color w:val="000000"/>
                      <w:position w:val="3"/>
                      <w:sz w:val="15"/>
                      <w:szCs w:val="15"/>
                      <w:vertAlign w:val="superscript"/>
                    </w:rPr>
                    <w:t xml:space="preserve">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Common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Major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Major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Major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Major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Major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Major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Major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Major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Major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Major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Major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Major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Major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Major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bl>
          <w:p/>
          <w:p>
            <w:pPr>
              <w:widowControl w:val="on"/>
              <w:pBdr/>
              <w:spacing w:before="0" w:after="0" w:line="240" w:lineRule="auto"/>
              <w:ind w:left="0" w:right="0"/>
              <w:jc w:val="left"/>
            </w:pPr>
            <w:r>
              <w:rPr>
                <w:rFonts w:ascii="verdana" w:hAnsi="verdana" w:cs="verdana"/>
                <w:color w:val="000000"/>
                <w:position w:val="0"/>
                <w:sz w:val="17"/>
                <w:szCs w:val="17"/>
              </w:rPr>
              <w:t xml:space="preserve">
</w:t>
            </w:r>
          </w:p>
          <w:p>
            <w:pPr>
              <w:widowControl w:val="on"/>
              <w:pBdr/>
              <w:spacing w:before="168" w:after="168" w:line="168" w:lineRule="auto"/>
              <w:ind w:left="0" w:right="0"/>
              <w:jc w:val="left"/>
              <w:textAlignment w:val="bottom"/>
            </w:pPr>
            <w:r>
              <w:rPr>
                <w:rFonts w:ascii="verdana" w:hAnsi="verdana" w:cs="verdana"/>
                <w:b/>
                <w:color w:val="000000"/>
                <w:position w:val="0"/>
                <w:sz w:val="17"/>
                <w:szCs w:val="17"/>
              </w:rPr>
              <w:t xml:space="preserve">NOTE:</w:t>
            </w:r>
            <w:r>
              <w:rPr>
                <w:rFonts w:ascii="verdana" w:hAnsi="verdana" w:cs="verdana"/>
                <w:color w:val="000000"/>
                <w:position w:val="0"/>
                <w:sz w:val="17"/>
                <w:szCs w:val="17"/>
              </w:rPr>
              <w:t xml:space="preserve"> THIS IS A SAMPLE PROGRAM PLAN. YOUR INDIVIDUAL PROGRAM PLAN CAN NOT BE DEVELOPED UNTIL THE RESULTS OF THE OFFICIAL TRANSFER CREDIT EVALUATION ARE KNOWN. AT THAT TIME AND UPON REQUEST AN AU ADVISOR CAN CREATE YOUR "INDIVIDUAL" PROGRAM PLAN. THIS WILL IDENTIFY WHERE YOUR TRANSFER CREDIT FITS INTO YOUR DEGREE AND THE COURSES YOU HAVE TO COMPLETE.</w:t>
            </w:r>
            <w:r>
              <w:rPr>
                <w:rFonts w:ascii="verdana" w:hAnsi="verdana" w:cs="verdana"/>
                <w:color w:val="000000"/>
                <w:position w:val="0"/>
                <w:sz w:val="17"/>
                <w:szCs w:val="17"/>
              </w:rPr>
              <w:b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Note: Program requires a minimum of </w:t>
                  </w:r>
                  <w:r>
                    <w:rPr>
                      <w:rFonts w:ascii="verdana" w:hAnsi="verdana" w:cs="verdana"/>
                      <w:b/>
                      <w:color w:val="000000"/>
                      <w:position w:val="-2"/>
                      <w:sz w:val="17"/>
                      <w:szCs w:val="17"/>
                    </w:rPr>
                    <w:t xml:space="preserve">18 credits at the 400-level</w:t>
                  </w:r>
                  <w:r>
                    <w:rPr>
                      <w:rFonts w:ascii="verdana" w:hAnsi="verdana" w:cs="verdana"/>
                      <w:color w:val="000000"/>
                      <w:position w:val="-2"/>
                      <w:sz w:val="17"/>
                      <w:szCs w:val="17"/>
                    </w:rPr>
                    <w:t xml:space="preserve">. A minimum 12 of these 18 credits must derive from CRJS Elective Major courses. The other six credits can be in additional CRJS Elective Major courses or OPTIONS or a combination of both.</w:t>
                  </w:r>
                </w:p>
              </w:tc>
            </w:tr>
          </w:tbl>
          <w:p/>
          <w:p>
            <w:pPr>
              <w:widowControl w:val="on"/>
              <w:pBdr/>
              <w:spacing w:before="168" w:after="168" w:line="168" w:lineRule="auto"/>
              <w:ind w:left="0" w:right="0"/>
              <w:jc w:val="center"/>
              <w:textAlignment w:val="bottom"/>
            </w:pP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6600"/>
                      <w:position w:val="-2"/>
                      <w:sz w:val="17"/>
                      <w:szCs w:val="17"/>
                    </w:rPr>
                    <w:br/>
                    <w:t xml:space="preserve">Example 1</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research methods or statistics course (see "Note" following) , e.g., </w:t>
                  </w:r>
                  <w:hyperlink r:id="rId1531f85e35e074" w:history="1">
                    <w:r>
                      <w:rPr>
                        <w:rFonts w:ascii="verdana" w:hAnsi="verdana" w:cs="verdana"/>
                        <w:color w:val="006600"/>
                        <w:position w:val="-2"/>
                        <w:sz w:val="17"/>
                        <w:szCs w:val="17"/>
                      </w:rPr>
                      <w:t xml:space="preserve">SOSC366 Research Methods in the Social Sciences</w:t>
                    </w:r>
                  </w:hyperlink>
                  <w:r>
                    <w:rPr>
                      <w:rFonts w:ascii="verdana" w:hAnsi="verdana" w:cs="verdana"/>
                      <w:color w:val="000000"/>
                      <w:position w:val="-2"/>
                      <w:sz w:val="17"/>
                      <w:szCs w:val="17"/>
                    </w:rPr>
                    <w:t xml:space="preserve"> or </w:t>
                  </w:r>
                  <w:hyperlink r:id="rId1531f85e35e182" w:history="1">
                    <w:r>
                      <w:rPr>
                        <w:rFonts w:ascii="verdana" w:hAnsi="verdana" w:cs="verdana"/>
                        <w:color w:val="006600"/>
                        <w:position w:val="-2"/>
                        <w:sz w:val="17"/>
                        <w:szCs w:val="17"/>
                      </w:rPr>
                      <w:t xml:space="preserve">CMNS308 Understanding Statistical Evidence</w:t>
                    </w:r>
                  </w:hyperlink>
                  <w:r>
                    <w:rPr>
                      <w:rFonts w:ascii="verdana" w:hAnsi="verdana" w:cs="verdana"/>
                      <w:color w:val="000000"/>
                      <w:position w:val="-2"/>
                      <w:sz w:val="17"/>
                      <w:szCs w:val="17"/>
                    </w:rPr>
                    <w:t xml:space="preserve"> or </w:t>
                  </w:r>
                  <w:hyperlink r:id="rId1531f85e35e28c" w:history="1">
                    <w:r>
                      <w:rPr>
                        <w:rFonts w:ascii="verdana" w:hAnsi="verdana" w:cs="verdana"/>
                        <w:color w:val="006600"/>
                        <w:position w:val="-2"/>
                        <w:sz w:val="17"/>
                        <w:szCs w:val="17"/>
                      </w:rPr>
                      <w:t xml:space="preserve">MATH215 Introduction to Statistics</w:t>
                    </w:r>
                  </w:hyperlink>
                  <w:r>
                    <w:rPr>
                      <w:rFonts w:ascii="verdana" w:hAnsi="verdana" w:cs="verdana"/>
                      <w:color w:val="000000"/>
                      <w:position w:val="-2"/>
                      <w:sz w:val="17"/>
                      <w:szCs w:val="17"/>
                    </w:rPr>
                    <w:t xml:space="preserve"> or </w:t>
                  </w:r>
                  <w:hyperlink r:id="rId1531f85e35e396" w:history="1">
                    <w:r>
                      <w:rPr>
                        <w:rFonts w:ascii="verdana" w:hAnsi="verdana" w:cs="verdana"/>
                        <w:color w:val="006600"/>
                        <w:position w:val="-2"/>
                        <w:sz w:val="17"/>
                        <w:szCs w:val="17"/>
                      </w:rPr>
                      <w:t xml:space="preserve">MATH216 Computer-Oriented Approach to Statistics</w:t>
                    </w:r>
                  </w:hyperlink>
                  <w:r>
                    <w:rPr>
                      <w:rFonts w:ascii="verdana" w:hAnsi="verdana" w:cs="verdana"/>
                      <w:color w:val="000000"/>
                      <w:position w:val="-2"/>
                      <w:sz w:val="17"/>
                      <w:szCs w:val="17"/>
                    </w:rPr>
                    <w:t xml:space="preserve">. A research methods course taken to fulfill this requirement of the Core may not also be counted as a CRJS Elective Major course.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6600"/>
                      <w:position w:val="-2"/>
                      <w:sz w:val="17"/>
                      <w:szCs w:val="17"/>
                    </w:rPr>
                    <w:t xml:space="preserve">Example 2</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200-level writing course or English literature course, e.g., </w:t>
                  </w:r>
                  <w:hyperlink r:id="rId1531f85e35e7e1" w:history="1">
                    <w:r>
                      <w:rPr>
                        <w:rFonts w:ascii="verdana" w:hAnsi="verdana" w:cs="verdana"/>
                        <w:color w:val="006600"/>
                        <w:position w:val="-2"/>
                        <w:sz w:val="17"/>
                        <w:szCs w:val="17"/>
                      </w:rPr>
                      <w:t xml:space="preserve">ADMN233</w:t>
                    </w:r>
                  </w:hyperlink>
                  <w:r>
                    <w:rPr>
                      <w:rFonts w:ascii="verdana" w:hAnsi="verdana" w:cs="verdana"/>
                      <w:color w:val="000000"/>
                      <w:position w:val="-2"/>
                      <w:sz w:val="17"/>
                      <w:szCs w:val="17"/>
                    </w:rPr>
                    <w:t xml:space="preserve"> (3) or ENGL211(3) or </w:t>
                  </w:r>
                  <w:hyperlink r:id="rId1531f85e35e8eb" w:history="1">
                    <w:r>
                      <w:rPr>
                        <w:rFonts w:ascii="verdana" w:hAnsi="verdana" w:cs="verdana"/>
                        <w:color w:val="006600"/>
                        <w:position w:val="-2"/>
                        <w:sz w:val="17"/>
                        <w:szCs w:val="17"/>
                      </w:rPr>
                      <w:t xml:space="preserve">ENGL255</w:t>
                    </w:r>
                  </w:hyperlink>
                  <w:r>
                    <w:rPr>
                      <w:rFonts w:ascii="verdana" w:hAnsi="verdana" w:cs="verdana"/>
                      <w:color w:val="000000"/>
                      <w:position w:val="-2"/>
                      <w:sz w:val="17"/>
                      <w:szCs w:val="17"/>
                    </w:rPr>
                    <w:t xml:space="preserve">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6600"/>
                      <w:position w:val="-2"/>
                      <w:sz w:val="17"/>
                      <w:szCs w:val="17"/>
                    </w:rPr>
                    <w:t xml:space="preserve">Example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200-level university critical and analytical thinking course, e.g., </w:t>
                  </w:r>
                  <w:hyperlink r:id="rId1531f85e35ed2b" w:history="1">
                    <w:r>
                      <w:rPr>
                        <w:rFonts w:ascii="verdana" w:hAnsi="verdana" w:cs="verdana"/>
                        <w:color w:val="006600"/>
                        <w:position w:val="-2"/>
                        <w:sz w:val="17"/>
                        <w:szCs w:val="17"/>
                      </w:rPr>
                      <w:t xml:space="preserve">PHIL231</w:t>
                    </w:r>
                  </w:hyperlink>
                  <w:r>
                    <w:rPr>
                      <w:rFonts w:ascii="verdana" w:hAnsi="verdana" w:cs="verdana"/>
                      <w:color w:val="000000"/>
                      <w:position w:val="-2"/>
                      <w:sz w:val="17"/>
                      <w:szCs w:val="17"/>
                    </w:rPr>
                    <w:t xml:space="preserve"> (3) or </w:t>
                  </w:r>
                  <w:hyperlink r:id="rId1531f85e35ee38" w:history="1">
                    <w:r>
                      <w:rPr>
                        <w:rFonts w:ascii="verdana" w:hAnsi="verdana" w:cs="verdana"/>
                        <w:color w:val="006600"/>
                        <w:position w:val="-2"/>
                        <w:sz w:val="17"/>
                        <w:szCs w:val="17"/>
                      </w:rPr>
                      <w:t xml:space="preserve">PHIL252</w:t>
                    </w:r>
                  </w:hyperlink>
                  <w:r>
                    <w:rPr>
                      <w:rFonts w:ascii="verdana" w:hAnsi="verdana" w:cs="verdana"/>
                      <w:color w:val="000000"/>
                      <w:position w:val="-2"/>
                      <w:sz w:val="17"/>
                      <w:szCs w:val="17"/>
                    </w:rPr>
                    <w:t xml:space="preserve"> (3) or </w:t>
                  </w:r>
                  <w:hyperlink r:id="rId1531f85e35ef46" w:history="1">
                    <w:r>
                      <w:rPr>
                        <w:rFonts w:ascii="verdana" w:hAnsi="verdana" w:cs="verdana"/>
                        <w:color w:val="006600"/>
                        <w:position w:val="-2"/>
                        <w:sz w:val="17"/>
                        <w:szCs w:val="17"/>
                      </w:rPr>
                      <w:t xml:space="preserve">PHIL371</w:t>
                    </w:r>
                  </w:hyperlink>
                  <w:r>
                    <w:rPr>
                      <w:rFonts w:ascii="verdana" w:hAnsi="verdana" w:cs="verdana"/>
                      <w:color w:val="000000"/>
                      <w:position w:val="-2"/>
                      <w:sz w:val="17"/>
                      <w:szCs w:val="17"/>
                    </w:rPr>
                    <w:t xml:space="preserve">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6600"/>
                      <w:position w:val="-2"/>
                      <w:sz w:val="17"/>
                      <w:szCs w:val="17"/>
                    </w:rPr>
                    <w:t xml:space="preserve">Example 4</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senior-level professional ethics course, e.g., </w:t>
                  </w:r>
                  <w:hyperlink r:id="rId1531f85e35f39f" w:history="1">
                    <w:r>
                      <w:rPr>
                        <w:rFonts w:ascii="verdana" w:hAnsi="verdana" w:cs="verdana"/>
                        <w:color w:val="006600"/>
                        <w:position w:val="-2"/>
                        <w:sz w:val="17"/>
                        <w:szCs w:val="17"/>
                      </w:rPr>
                      <w:t xml:space="preserve">PHIL333</w:t>
                    </w:r>
                  </w:hyperlink>
                  <w:r>
                    <w:rPr>
                      <w:rFonts w:ascii="verdana" w:hAnsi="verdana" w:cs="verdana"/>
                      <w:color w:val="000000"/>
                      <w:position w:val="-2"/>
                      <w:sz w:val="17"/>
                      <w:szCs w:val="17"/>
                    </w:rPr>
                    <w:t xml:space="preserve"> (3) or </w:t>
                  </w:r>
                  <w:hyperlink r:id="rId1531f85e35f4b1" w:history="1">
                    <w:r>
                      <w:rPr>
                        <w:rFonts w:ascii="verdana" w:hAnsi="verdana" w:cs="verdana"/>
                        <w:color w:val="006600"/>
                        <w:position w:val="-2"/>
                        <w:sz w:val="17"/>
                        <w:szCs w:val="17"/>
                      </w:rPr>
                      <w:t xml:space="preserve">PHIL371</w:t>
                    </w:r>
                  </w:hyperlink>
                  <w:r>
                    <w:rPr>
                      <w:rFonts w:ascii="verdana" w:hAnsi="verdana" w:cs="verdana"/>
                      <w:color w:val="000000"/>
                      <w:position w:val="-2"/>
                      <w:sz w:val="17"/>
                      <w:szCs w:val="17"/>
                    </w:rPr>
                    <w:t xml:space="preserve"> (3).</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85e34b4b1" Type="http://schemas.openxmlformats.org/officeDocument/2006/relationships/hyperlink" Target="http://calendar.athabascau.ca/undergrad/2006/page03_16_03.html" TargetMode="External"/><Relationship Id="rId1531f85e34b5d6" Type="http://schemas.openxmlformats.org/officeDocument/2006/relationships/hyperlink" Target="../../index.php" TargetMode="External"/><Relationship Id="rId1531f85e34b6e7" Type="http://schemas.openxmlformats.org/officeDocument/2006/relationships/hyperlink" Target="../06%20index%20files/pplans06.php" TargetMode="External"/><Relationship Id="rId1531f85e34b7f7" Type="http://schemas.openxmlformats.org/officeDocument/2006/relationships/hyperlink" Target="http://calendar.athabascau.ca/undergrad/2006/page12.html" TargetMode="External"/><Relationship Id="rId1531f85e34ba17" Type="http://schemas.openxmlformats.org/officeDocument/2006/relationships/hyperlink" Target="http://calendar.athabascau.ca/undergrad/2006/page03_16_03.html" TargetMode="External"/><Relationship Id="rId1531f85e35e074" Type="http://schemas.openxmlformats.org/officeDocument/2006/relationships/hyperlink" Target="http://www.athabascau.ca/html/syllabi/sosc/sosc366.htm" TargetMode="External"/><Relationship Id="rId1531f85e35e182" Type="http://schemas.openxmlformats.org/officeDocument/2006/relationships/hyperlink" Target="http://www.athabascau.ca/html/syllabi/cmns/cmns308.htm" TargetMode="External"/><Relationship Id="rId1531f85e35e28c" Type="http://schemas.openxmlformats.org/officeDocument/2006/relationships/hyperlink" Target="http://www.athabascau.ca/html/syllabi/math/math215.htm" TargetMode="External"/><Relationship Id="rId1531f85e35e396" Type="http://schemas.openxmlformats.org/officeDocument/2006/relationships/hyperlink" Target="http://www.athabascau.ca/html/syllabi/math/math216.htm" TargetMode="External"/><Relationship Id="rId1531f85e35e7e1" Type="http://schemas.openxmlformats.org/officeDocument/2006/relationships/hyperlink" Target="http://www.athabascau.ca/html/syllabi/admn/admn233.htm" TargetMode="External"/><Relationship Id="rId1531f85e35e8eb" Type="http://schemas.openxmlformats.org/officeDocument/2006/relationships/hyperlink" Target="http://www.athabascau.ca/html/syllabi/engl/engl255.htm" TargetMode="External"/><Relationship Id="rId1531f85e35ed2b" Type="http://schemas.openxmlformats.org/officeDocument/2006/relationships/hyperlink" Target="http://www.athabascau.ca/html/syllabi/phil/phil231.htm" TargetMode="External"/><Relationship Id="rId1531f85e35ee38" Type="http://schemas.openxmlformats.org/officeDocument/2006/relationships/hyperlink" Target="http://www.athabascau.ca/html/syllabi/phil/phil252.htm" TargetMode="External"/><Relationship Id="rId1531f85e35ef46" Type="http://schemas.openxmlformats.org/officeDocument/2006/relationships/hyperlink" Target="http://www.athabascau.ca/html/syllabi/phil/phil371.htm" TargetMode="External"/><Relationship Id="rId1531f85e35f39f" Type="http://schemas.openxmlformats.org/officeDocument/2006/relationships/hyperlink" Target="http://www.athabascau.ca/html/syllabi/phil/phil333.htm" TargetMode="External"/><Relationship Id="rId1531f85e35f4b1" Type="http://schemas.openxmlformats.org/officeDocument/2006/relationships/hyperlink" Target="http://www.athabascau.ca/html/syllabi/phil/phil371.htm" TargetMode="External"/><Relationship Id="rId1531f85e34b1e8" Type="http://schemas.openxmlformats.org/officeDocument/2006/relationships/image" Target="media/imgrId1531f85e34b1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